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6E" w:rsidRDefault="0001326E">
      <w:pPr>
        <w:pStyle w:val="Standard"/>
        <w:rPr>
          <w:rFonts w:hint="eastAsia"/>
        </w:rPr>
      </w:pPr>
      <w:bookmarkStart w:id="0" w:name="_GoBack"/>
      <w:bookmarkEnd w:id="0"/>
    </w:p>
    <w:tbl>
      <w:tblPr>
        <w:tblW w:w="9489" w:type="dxa"/>
        <w:tblInd w:w="103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326"/>
        <w:gridCol w:w="5163"/>
      </w:tblGrid>
      <w:tr w:rsidR="0001326E">
        <w:trPr>
          <w:trHeight w:val="1379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1326E" w:rsidRDefault="001E25A3">
            <w:pPr>
              <w:pStyle w:val="Standard"/>
              <w:rPr>
                <w:rFonts w:hint="eastAsia"/>
              </w:rPr>
            </w:pPr>
            <w:r>
              <w:t>DESCRIZIONE PROCEDIMENTO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1326E" w:rsidRDefault="001E25A3">
            <w:pPr>
              <w:pStyle w:val="Standard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PRESENTARE DOMANDA PER BONUS ECONOMICI</w:t>
            </w:r>
          </w:p>
        </w:tc>
      </w:tr>
      <w:tr w:rsidR="0001326E">
        <w:trPr>
          <w:trHeight w:val="1241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6E" w:rsidRDefault="001E25A3">
            <w:pPr>
              <w:pStyle w:val="Standard"/>
              <w:rPr>
                <w:rFonts w:hint="eastAsia"/>
                <w:i/>
              </w:rPr>
            </w:pPr>
            <w:r>
              <w:rPr>
                <w:i/>
              </w:rPr>
              <w:t>Unità organizzativa responsabile dell’istruttoria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6E" w:rsidRDefault="001E25A3">
            <w:pPr>
              <w:pStyle w:val="Standard"/>
              <w:rPr>
                <w:rFonts w:hint="eastAsia"/>
              </w:rPr>
            </w:pPr>
            <w:r>
              <w:t>Servizi sociali</w:t>
            </w:r>
          </w:p>
        </w:tc>
      </w:tr>
      <w:tr w:rsidR="0001326E">
        <w:trPr>
          <w:trHeight w:val="1058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6E" w:rsidRDefault="001E25A3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 xml:space="preserve">Modalità di accesso e canali attraverso i quali gli interessati possono ottenere le informazioni relative ai procedimenti </w:t>
            </w:r>
            <w:r>
              <w:rPr>
                <w:i/>
                <w:iCs/>
              </w:rPr>
              <w:t>in corso che li riguardano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6E" w:rsidRDefault="001E25A3">
            <w:pPr>
              <w:pStyle w:val="Standard"/>
              <w:rPr>
                <w:rFonts w:hint="eastAsia"/>
              </w:rPr>
            </w:pPr>
            <w:r>
              <w:t>Sportello segretariato sociale</w:t>
            </w:r>
          </w:p>
        </w:tc>
      </w:tr>
      <w:tr w:rsidR="0001326E">
        <w:trPr>
          <w:trHeight w:val="1196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6E" w:rsidRDefault="001E25A3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Termine per la conclusione con l’adozione di un provvedimento espresso/atto autorizzativo ed ogni altro termine procedimentale rilevante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6E" w:rsidRDefault="001E25A3">
            <w:pPr>
              <w:pStyle w:val="Standard"/>
              <w:rPr>
                <w:rFonts w:hint="eastAsia"/>
              </w:rPr>
            </w:pPr>
            <w:r>
              <w:t xml:space="preserve">30 giorni e/o intervallo temporale superiore come da </w:t>
            </w:r>
            <w:r>
              <w:t>disciplina specifica dell’intervento</w:t>
            </w:r>
          </w:p>
        </w:tc>
      </w:tr>
      <w:tr w:rsidR="0001326E">
        <w:trPr>
          <w:trHeight w:val="107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6E" w:rsidRDefault="001E25A3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6E" w:rsidRDefault="001E25A3">
            <w:pPr>
              <w:pStyle w:val="Standard"/>
              <w:spacing w:before="280"/>
              <w:rPr>
                <w:rFonts w:hint="eastAsia"/>
                <w:iCs/>
              </w:rPr>
            </w:pPr>
            <w:r>
              <w:rPr>
                <w:iCs/>
              </w:rPr>
              <w:t>NO</w:t>
            </w:r>
          </w:p>
        </w:tc>
      </w:tr>
      <w:tr w:rsidR="0001326E">
        <w:trPr>
          <w:trHeight w:val="792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6E" w:rsidRDefault="001E25A3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6E" w:rsidRDefault="001E25A3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Pago PA</w:t>
            </w:r>
          </w:p>
        </w:tc>
      </w:tr>
      <w:tr w:rsidR="0001326E">
        <w:trPr>
          <w:trHeight w:val="1126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6E" w:rsidRDefault="001E25A3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 xml:space="preserve">Soggetto responsabile e/o soggetto che esercita </w:t>
            </w:r>
            <w:r>
              <w:rPr>
                <w:i/>
                <w:iCs/>
              </w:rPr>
              <w:t>il potere sostitutivo in caso di inerzia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6E" w:rsidRDefault="001E25A3">
            <w:pPr>
              <w:pStyle w:val="Standard"/>
              <w:rPr>
                <w:rFonts w:hint="eastAsia"/>
              </w:rPr>
            </w:pPr>
            <w:r>
              <w:t>Il segretario comunale</w:t>
            </w:r>
          </w:p>
        </w:tc>
      </w:tr>
      <w:tr w:rsidR="0001326E">
        <w:trPr>
          <w:trHeight w:val="973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6E" w:rsidRDefault="001E25A3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6E" w:rsidRDefault="001E25A3">
            <w:pPr>
              <w:pStyle w:val="Standard"/>
              <w:rPr>
                <w:rFonts w:hint="eastAsia"/>
              </w:rPr>
            </w:pPr>
            <w:r>
              <w:t>Disciplina di legge nazionale e regionale inerenti i bonus di tempo in tempo vigenti</w:t>
            </w:r>
          </w:p>
        </w:tc>
      </w:tr>
    </w:tbl>
    <w:p w:rsidR="0001326E" w:rsidRDefault="0001326E">
      <w:pPr>
        <w:pStyle w:val="Standard"/>
        <w:rPr>
          <w:rFonts w:hint="eastAsia"/>
        </w:rPr>
      </w:pPr>
    </w:p>
    <w:sectPr w:rsidR="0001326E">
      <w:headerReference w:type="default" r:id="rId7"/>
      <w:pgSz w:w="11906" w:h="16838"/>
      <w:pgMar w:top="1134" w:right="1134" w:bottom="1134" w:left="1134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A3" w:rsidRDefault="001E25A3">
      <w:pPr>
        <w:rPr>
          <w:rFonts w:hint="eastAsia"/>
        </w:rPr>
      </w:pPr>
      <w:r>
        <w:separator/>
      </w:r>
    </w:p>
  </w:endnote>
  <w:endnote w:type="continuationSeparator" w:id="0">
    <w:p w:rsidR="001E25A3" w:rsidRDefault="001E25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A3" w:rsidRDefault="001E25A3">
      <w:pPr>
        <w:rPr>
          <w:rFonts w:hint="eastAsia"/>
        </w:rPr>
      </w:pPr>
      <w:r>
        <w:separator/>
      </w:r>
    </w:p>
  </w:footnote>
  <w:footnote w:type="continuationSeparator" w:id="0">
    <w:p w:rsidR="001E25A3" w:rsidRDefault="001E25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26E" w:rsidRDefault="001E25A3">
    <w:pPr>
      <w:tabs>
        <w:tab w:val="center" w:pos="4819"/>
        <w:tab w:val="right" w:pos="9638"/>
      </w:tabs>
      <w:suppressAutoHyphens w:val="0"/>
      <w:spacing w:after="160" w:line="252" w:lineRule="auto"/>
      <w:jc w:val="center"/>
      <w:textAlignment w:val="auto"/>
      <w:rPr>
        <w:rFonts w:ascii="Calibri" w:eastAsia="Calibri" w:hAnsi="Calibri" w:cs="Times New Roman"/>
        <w:b/>
        <w:sz w:val="22"/>
        <w:szCs w:val="22"/>
        <w:lang w:eastAsia="en-US" w:bidi="ar-SA"/>
      </w:rPr>
    </w:pPr>
    <w:r>
      <w:rPr>
        <w:rFonts w:ascii="Calibri" w:eastAsia="Calibri" w:hAnsi="Calibri" w:cs="Times New Roman"/>
        <w:b/>
        <w:sz w:val="22"/>
        <w:szCs w:val="22"/>
        <w:lang w:eastAsia="en-US" w:bidi="ar-SA"/>
      </w:rPr>
      <w:t xml:space="preserve">COMUNE DI </w:t>
    </w:r>
    <w:r>
      <w:rPr>
        <w:rFonts w:ascii="Calibri" w:eastAsia="Calibri" w:hAnsi="Calibri" w:cs="Times New Roman"/>
        <w:b/>
        <w:sz w:val="22"/>
        <w:szCs w:val="22"/>
        <w:lang w:eastAsia="en-US" w:bidi="ar-SA"/>
      </w:rPr>
      <w:t>LIZZANO</w:t>
    </w:r>
  </w:p>
  <w:p w:rsidR="0001326E" w:rsidRDefault="001E25A3">
    <w:pPr>
      <w:tabs>
        <w:tab w:val="center" w:pos="4819"/>
        <w:tab w:val="right" w:pos="9638"/>
      </w:tabs>
      <w:suppressAutoHyphens w:val="0"/>
      <w:spacing w:after="160" w:line="252" w:lineRule="auto"/>
      <w:jc w:val="center"/>
      <w:textAlignment w:val="auto"/>
      <w:rPr>
        <w:rFonts w:ascii="Calibri" w:eastAsia="Calibri" w:hAnsi="Calibri" w:cs="Times New Roman"/>
        <w:sz w:val="22"/>
        <w:szCs w:val="22"/>
        <w:lang w:eastAsia="en-US" w:bidi="ar-SA"/>
      </w:rPr>
    </w:pPr>
    <w:r>
      <w:rPr>
        <w:rFonts w:ascii="Calibri" w:eastAsia="Calibri" w:hAnsi="Calibri" w:cs="Times New Roman"/>
        <w:sz w:val="22"/>
        <w:szCs w:val="22"/>
        <w:lang w:eastAsia="en-US" w:bidi="ar-SA"/>
      </w:rPr>
      <w:t>Corso Vittorio Emanuele, 54</w:t>
    </w:r>
  </w:p>
  <w:p w:rsidR="0001326E" w:rsidRDefault="001E25A3">
    <w:pPr>
      <w:tabs>
        <w:tab w:val="center" w:pos="4819"/>
        <w:tab w:val="right" w:pos="9638"/>
      </w:tabs>
      <w:suppressAutoHyphens w:val="0"/>
      <w:spacing w:after="160" w:line="252" w:lineRule="auto"/>
      <w:jc w:val="center"/>
      <w:textAlignment w:val="auto"/>
      <w:rPr>
        <w:rFonts w:ascii="Calibri" w:eastAsia="Calibri" w:hAnsi="Calibri" w:cs="Times New Roman"/>
        <w:sz w:val="22"/>
        <w:szCs w:val="22"/>
        <w:lang w:eastAsia="en-US" w:bidi="ar-SA"/>
      </w:rPr>
    </w:pPr>
    <w:r>
      <w:rPr>
        <w:rFonts w:ascii="Calibri" w:eastAsia="Calibri" w:hAnsi="Calibri" w:cs="Times New Roman"/>
        <w:sz w:val="22"/>
        <w:szCs w:val="22"/>
        <w:lang w:eastAsia="en-US" w:bidi="ar-SA"/>
      </w:rPr>
      <w:t>74020– Lizzano (TA)</w:t>
    </w:r>
  </w:p>
  <w:p w:rsidR="0001326E" w:rsidRDefault="001E25A3">
    <w:pPr>
      <w:tabs>
        <w:tab w:val="center" w:pos="4819"/>
        <w:tab w:val="right" w:pos="9638"/>
      </w:tabs>
      <w:suppressAutoHyphens w:val="0"/>
      <w:spacing w:after="160" w:line="252" w:lineRule="auto"/>
      <w:jc w:val="center"/>
      <w:textAlignment w:val="auto"/>
      <w:rPr>
        <w:rFonts w:ascii="Calibri" w:eastAsia="Calibri" w:hAnsi="Calibri" w:cs="Times New Roman"/>
        <w:sz w:val="22"/>
        <w:szCs w:val="22"/>
        <w:lang w:eastAsia="en-US" w:bidi="ar-SA"/>
      </w:rPr>
    </w:pPr>
    <w:r>
      <w:rPr>
        <w:rFonts w:ascii="Calibri" w:eastAsia="Calibri" w:hAnsi="Calibri" w:cs="Times New Roman"/>
        <w:sz w:val="22"/>
        <w:szCs w:val="22"/>
        <w:lang w:eastAsia="en-US" w:bidi="ar-SA"/>
      </w:rPr>
      <w:t>C.F.: 80010030734 – P.IVA: 01752810737</w:t>
    </w:r>
    <w:bookmarkStart w:id="1" w:name="_Hlk158902217"/>
    <w:bookmarkEnd w:id="1"/>
  </w:p>
  <w:p w:rsidR="0001326E" w:rsidRDefault="0001326E">
    <w:pPr>
      <w:tabs>
        <w:tab w:val="center" w:pos="4819"/>
        <w:tab w:val="right" w:pos="9638"/>
      </w:tabs>
      <w:suppressAutoHyphens w:val="0"/>
      <w:spacing w:after="160" w:line="252" w:lineRule="auto"/>
      <w:jc w:val="center"/>
      <w:textAlignment w:val="auto"/>
      <w:rPr>
        <w:rFonts w:ascii="Calibri" w:eastAsia="Calibri" w:hAnsi="Calibri" w:cs="Times New Roman"/>
        <w:sz w:val="22"/>
        <w:szCs w:val="22"/>
        <w:lang w:eastAsia="en-US" w:bidi="ar-SA"/>
      </w:rPr>
    </w:pPr>
  </w:p>
  <w:p w:rsidR="0001326E" w:rsidRDefault="001E25A3">
    <w:pPr>
      <w:pStyle w:val="Intestazione"/>
      <w:jc w:val="center"/>
      <w:rPr>
        <w:rFonts w:hint="eastAsia"/>
      </w:rPr>
    </w:pPr>
    <w:r>
      <w:rPr>
        <w:rFonts w:ascii="Calibri" w:eastAsia="Calibri" w:hAnsi="Calibri" w:cs="Times New Roman"/>
        <w:sz w:val="22"/>
        <w:szCs w:val="22"/>
        <w:lang w:eastAsia="en-US" w:bidi="ar-SA"/>
      </w:rPr>
      <w:t>TERMINI E CONDIZIONI DEL SERVIZIO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6E"/>
    <w:rsid w:val="0001326E"/>
    <w:rsid w:val="001E25A3"/>
    <w:rsid w:val="004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qFormat/>
    <w:rPr>
      <w:kern w:val="2"/>
    </w:rPr>
  </w:style>
  <w:style w:type="character" w:customStyle="1" w:styleId="IntestazioneCarattere">
    <w:name w:val="Intestazione Carattere"/>
    <w:basedOn w:val="Carpredefinitoparagrafo"/>
    <w:qFormat/>
    <w:rPr>
      <w:kern w:val="2"/>
    </w:rPr>
  </w:style>
  <w:style w:type="character" w:customStyle="1" w:styleId="Collegamentoipertestuale1">
    <w:name w:val="Collegamento ipertestuale1"/>
    <w:basedOn w:val="Carpredefinitoparagrafo"/>
    <w:qFormat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</w:pPr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Standard">
    <w:name w:val="Standard"/>
    <w:qFormat/>
    <w:pPr>
      <w:suppressAutoHyphens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qFormat/>
    <w:pPr>
      <w:spacing w:after="160"/>
      <w:ind w:left="720"/>
    </w:pPr>
  </w:style>
  <w:style w:type="paragraph" w:customStyle="1" w:styleId="Contenutotabella">
    <w:name w:val="Contenuto tabella"/>
    <w:basedOn w:val="Standard"/>
    <w:qFormat/>
    <w:pPr>
      <w:suppressLineNumbers/>
    </w:pPr>
  </w:style>
  <w:style w:type="numbering" w:customStyle="1" w:styleId="Nessunelenco1">
    <w:name w:val="Nessun elenco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qFormat/>
    <w:rPr>
      <w:kern w:val="2"/>
    </w:rPr>
  </w:style>
  <w:style w:type="character" w:customStyle="1" w:styleId="IntestazioneCarattere">
    <w:name w:val="Intestazione Carattere"/>
    <w:basedOn w:val="Carpredefinitoparagrafo"/>
    <w:qFormat/>
    <w:rPr>
      <w:kern w:val="2"/>
    </w:rPr>
  </w:style>
  <w:style w:type="character" w:customStyle="1" w:styleId="Collegamentoipertestuale1">
    <w:name w:val="Collegamento ipertestuale1"/>
    <w:basedOn w:val="Carpredefinitoparagrafo"/>
    <w:qFormat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</w:pPr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Standard">
    <w:name w:val="Standard"/>
    <w:qFormat/>
    <w:pPr>
      <w:suppressAutoHyphens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qFormat/>
    <w:pPr>
      <w:spacing w:after="160"/>
      <w:ind w:left="720"/>
    </w:pPr>
  </w:style>
  <w:style w:type="paragraph" w:customStyle="1" w:styleId="Contenutotabella">
    <w:name w:val="Contenuto tabella"/>
    <w:basedOn w:val="Standard"/>
    <w:qFormat/>
    <w:pPr>
      <w:suppressLineNumbers/>
    </w:pPr>
  </w:style>
  <w:style w:type="numbering" w:customStyle="1" w:styleId="Nessunelenco1">
    <w:name w:val="Nessun elenco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Pagano</dc:creator>
  <cp:lastModifiedBy>Annalisa Pauli</cp:lastModifiedBy>
  <cp:revision>2</cp:revision>
  <dcterms:created xsi:type="dcterms:W3CDTF">2024-09-06T08:09:00Z</dcterms:created>
  <dcterms:modified xsi:type="dcterms:W3CDTF">2024-09-06T08:09:00Z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